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1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2025 год и на плановый период 2026 и 2027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</w:t>
      </w: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1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4"/>
          <w:szCs w:val="22"/>
        </w:rPr>
        <w:t xml:space="preserve">2</w:t>
      </w:r>
      <w:r>
        <w:rPr>
          <w:sz w:val="24"/>
          <w:szCs w:val="22"/>
        </w:rPr>
        <w:t xml:space="preserve">5</w:t>
      </w:r>
      <w:r>
        <w:rPr>
          <w:sz w:val="24"/>
          <w:szCs w:val="22"/>
        </w:rPr>
        <w:t xml:space="preserve"> год </w:t>
      </w:r>
      <w:r>
        <w:rPr>
          <w:sz w:val="24"/>
          <w:szCs w:val="22"/>
        </w:rPr>
        <w:br w:type="textWrapping" w:clear="all"/>
      </w:r>
      <w:r>
        <w:rPr>
          <w:sz w:val="24"/>
          <w:szCs w:val="22"/>
        </w:rPr>
        <w:t xml:space="preserve">и на плановый период 202</w:t>
      </w:r>
      <w:r>
        <w:rPr>
          <w:sz w:val="24"/>
          <w:szCs w:val="22"/>
        </w:rPr>
        <w:t xml:space="preserve">6</w:t>
      </w:r>
      <w:r>
        <w:rPr>
          <w:sz w:val="24"/>
          <w:szCs w:val="22"/>
        </w:rPr>
        <w:t xml:space="preserve"> и 202</w:t>
      </w:r>
      <w:r>
        <w:rPr>
          <w:sz w:val="24"/>
          <w:szCs w:val="22"/>
        </w:rPr>
        <w:t xml:space="preserve">7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1418" w:right="1418"/>
        <w:jc w:val="center"/>
        <w:widowControl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Поступления д</w:t>
      </w:r>
      <w:r>
        <w:rPr>
          <w:b/>
          <w:bCs/>
          <w:sz w:val="28"/>
          <w:szCs w:val="28"/>
        </w:rPr>
        <w:t xml:space="preserve">оход</w:t>
      </w:r>
      <w:r>
        <w:rPr>
          <w:b/>
          <w:bCs/>
          <w:sz w:val="28"/>
          <w:szCs w:val="28"/>
        </w:rPr>
        <w:t xml:space="preserve">ов в</w:t>
      </w:r>
      <w:r>
        <w:rPr>
          <w:b/>
          <w:bCs/>
          <w:sz w:val="28"/>
          <w:szCs w:val="28"/>
        </w:rPr>
        <w:t xml:space="preserve"> бюджет </w:t>
      </w:r>
      <w:r>
        <w:rPr>
          <w:b/>
          <w:bCs/>
          <w:sz w:val="28"/>
          <w:szCs w:val="28"/>
        </w:rPr>
        <w:t xml:space="preserve">Территориального фонда обязательного медицинского страхования Московской области на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E0" w:firstRow="1" w:lastRow="1" w:firstColumn="1" w:lastColumn="0" w:noHBand="0" w:noVBand="1"/>
      </w:tblPr>
      <w:tblGrid>
        <w:gridCol w:w="3403"/>
        <w:gridCol w:w="4536"/>
        <w:gridCol w:w="1842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Коды бюджетной классификации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Наименования доходов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Сумма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(тыс. рублей)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860"/>
        <w:rPr>
          <w:vanish/>
          <w:sz w:val="2"/>
        </w:rPr>
      </w:pPr>
      <w:r>
        <w:rPr>
          <w:vanish/>
          <w:sz w:val="2"/>
        </w:rPr>
      </w:r>
      <w:r>
        <w:rPr>
          <w:vanish/>
          <w:sz w:val="2"/>
        </w:rPr>
      </w:r>
      <w:r>
        <w:rPr>
          <w:vanish/>
          <w:sz w:val="2"/>
        </w:rPr>
      </w:r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E0" w:firstRow="1" w:lastRow="1" w:firstColumn="1" w:lastColumn="0" w:noHBand="0" w:noVBand="1"/>
      </w:tblPr>
      <w:tblGrid>
        <w:gridCol w:w="3403"/>
        <w:gridCol w:w="4536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ind w:right="-10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000 1 00 00000 00 0000 000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826 934,7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000 1 13 00000 00 0000 000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18 736,8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000 1 13 02000 00 0000 130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18 736,8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000 1 13 02990 00 0000 130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18 736,8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395 1 13 02999 0</w:t>
            </w:r>
            <w:r>
              <w:rPr>
                <w:bCs/>
                <w:sz w:val="24"/>
                <w:szCs w:val="24"/>
              </w:rPr>
              <w:t xml:space="preserve">9</w:t>
            </w:r>
            <w:r>
              <w:rPr>
                <w:bCs/>
                <w:sz w:val="24"/>
                <w:szCs w:val="24"/>
                <w:lang w:val="en-US"/>
              </w:rPr>
              <w:t xml:space="preserve">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бюджетов территориальных фондов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18 736,8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1 16 00000 00 0000 000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27 392,1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</w:t>
            </w:r>
            <w:r>
              <w:rPr>
                <w:bCs/>
                <w:sz w:val="24"/>
                <w:szCs w:val="24"/>
              </w:rPr>
              <w:t xml:space="preserve">07</w:t>
            </w:r>
            <w:r>
              <w:rPr>
                <w:bCs/>
                <w:sz w:val="24"/>
                <w:szCs w:val="24"/>
              </w:rPr>
              <w:t xml:space="preserve">000 0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bCs/>
                <w:sz w:val="24"/>
                <w:szCs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21 805,3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000 1 16 07010 00 0000 140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179,4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395 1 16 07010 09 0000 140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179,4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000 1 16 07090 00 0000 140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</w:t>
            </w:r>
            <w:r>
              <w:rPr>
                <w:bCs/>
                <w:sz w:val="24"/>
                <w:szCs w:val="24"/>
              </w:rPr>
              <w:br w:type="textWrapping" w:clear="all"/>
            </w:r>
            <w:r>
              <w:rPr>
                <w:bCs/>
                <w:sz w:val="24"/>
                <w:szCs w:val="24"/>
              </w:rPr>
              <w:t xml:space="preserve">или договором в случае неисполнения или ненадлежащего исполнения обязательств перед государственным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(муниципальным) органом, казенным учреждением, Центральным банком Российской Федерации, государственной корпорацией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21 625,9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395 1 16 07090 09 0000 140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21 625,9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000 1 16 10000 00 0000 140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5 586,8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000 1 16 10100 00 0000 140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5 586,8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395 1 16 10100 09 0000 140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5 586,8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000 1 17 00000 00 0000 000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ДОХОДЫ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780 805,8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</w:pPr>
            <w:r>
              <w:rPr>
                <w:bCs/>
                <w:sz w:val="24"/>
                <w:szCs w:val="24"/>
              </w:rPr>
              <w:t xml:space="preserve">000 1 17 06000 00 0000 180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поступления в бюджеты государственных внебюджетных фондов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780 805,8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395 1 17 06040 09 0000 180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неналоговые поступления в территориальные фонды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780 805,8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000 2 00 00000 00 0000 000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БЕЗВОЗМЕЗДНЫЕ ПОСТУПЛЕНИЯ</w:t>
            </w:r>
            <w:r>
              <w:rPr>
                <w:b/>
                <w:bCs/>
                <w:sz w:val="24"/>
                <w:szCs w:val="24"/>
                <w:lang w:val="en-US"/>
              </w:rPr>
            </w: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210 636 094,5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000 2 02 00000 00 0000 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72"/>
              <w:rPr>
                <w:bCs/>
              </w:rPr>
            </w:pPr>
            <w:r>
              <w:rPr>
                <w:bCs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rPr>
                <w:b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210 636 094,5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</w:t>
            </w:r>
            <w:r>
              <w:rPr>
                <w:bCs/>
                <w:sz w:val="24"/>
                <w:szCs w:val="24"/>
              </w:rPr>
              <w:t xml:space="preserve">50</w:t>
            </w:r>
            <w:r>
              <w:rPr>
                <w:bCs/>
                <w:sz w:val="24"/>
                <w:szCs w:val="24"/>
              </w:rPr>
              <w:t xml:space="preserve">000 00 0000 15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трансферты, передаваемые бюджетам государственных внебюджетных фондов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208 026 417,5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395 2 02 50202 09 0000 150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 из бюджетов субъектов Российской Федерации, </w:t>
            </w:r>
            <w:r>
              <w:rPr>
                <w:bCs/>
                <w:sz w:val="24"/>
                <w:szCs w:val="24"/>
              </w:rPr>
              <w:t xml:space="preserve">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11 051 045,0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395 2 02 50203 09 0000 150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 из бюджетов субъектов Р</w:t>
            </w:r>
            <w:r>
              <w:rPr>
                <w:bCs/>
                <w:sz w:val="24"/>
                <w:szCs w:val="24"/>
              </w:rPr>
              <w:t xml:space="preserve">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1 823 294,0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395 2 02 55093 09 0000 15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179 800 222,5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395 2 02 55257 09 0000 150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426 587,1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395 2 02 55258 09 0000 150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трансферты, передаваемые бюджетам территориальных фондов обязательн</w:t>
            </w:r>
            <w:r>
              <w:rPr>
                <w:sz w:val="24"/>
                <w:szCs w:val="24"/>
              </w:rPr>
              <w:t xml:space="preserve">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5 111,5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000 2 02 59999 00 0000 150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межбюджетные трансферты, передаваемые бюджетам государственных внебюджетных фондов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14 920 157,4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395 2 02 59999 09 0000 15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межбюджетные трансферты, передаваемые бюджетам территориальных фондов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14 920 157,4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2 02 </w:t>
            </w:r>
            <w:r>
              <w:rPr>
                <w:bCs/>
                <w:sz w:val="24"/>
                <w:szCs w:val="24"/>
                <w:lang w:val="en-US"/>
              </w:rPr>
              <w:t xml:space="preserve">9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от других бюджетов бюджетной системы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2 609 677,0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000 2 02 90020 00 0000 150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безвозмездные поступления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2 609 677,0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395 2 02 90029 09 0000 15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в территориальные фонды обязательного медицинского страхования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2 609 677,0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60"/>
              <w:ind w:right="-108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0"/>
              <w:ind w:right="-10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ДОХОДОВ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60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211 463 029,2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860"/>
        <w:ind w:right="-144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vAnchor="text" w:hAnchor="margin" w:xAlign="center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separate"/>
    </w:r>
    <w:r>
      <w:rPr>
        <w:rStyle w:val="867"/>
      </w:rPr>
      <w:t xml:space="preserve">2</w: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rPr>
        <w:rStyle w:val="867"/>
      </w:rPr>
      <w:framePr w:vAnchor="text" w:hAnchor="page" w:x="6382" w:y="1"/>
    </w:pPr>
    <w:r>
      <w:rPr>
        <w:rStyle w:val="867"/>
      </w:rPr>
    </w:r>
    <w:r>
      <w:rPr>
        <w:rStyle w:val="867"/>
      </w:rPr>
    </w:r>
    <w:r>
      <w:rPr>
        <w:rStyle w:val="867"/>
      </w:rPr>
    </w:r>
  </w:p>
  <w:p>
    <w:pPr>
      <w:pStyle w:val="866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70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862">
    <w:name w:val="Заголовок 9"/>
    <w:basedOn w:val="860"/>
    <w:next w:val="860"/>
    <w:link w:val="871"/>
    <w:unhideWhenUsed/>
    <w:qFormat/>
    <w:pPr>
      <w:spacing w:before="240" w:after="6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styleId="863">
    <w:name w:val="Основной шрифт абзаца"/>
    <w:next w:val="863"/>
    <w:link w:val="860"/>
    <w:uiPriority w:val="1"/>
    <w:semiHidden/>
    <w:unhideWhenUsed/>
  </w:style>
  <w:style w:type="table" w:styleId="864">
    <w:name w:val="Обычная таблица"/>
    <w:next w:val="864"/>
    <w:link w:val="860"/>
    <w:uiPriority w:val="99"/>
    <w:semiHidden/>
    <w:unhideWhenUsed/>
    <w:tblPr/>
  </w:style>
  <w:style w:type="numbering" w:styleId="865">
    <w:name w:val="Нет списка"/>
    <w:next w:val="865"/>
    <w:link w:val="860"/>
    <w:uiPriority w:val="99"/>
    <w:semiHidden/>
    <w:unhideWhenUsed/>
  </w:style>
  <w:style w:type="paragraph" w:styleId="866">
    <w:name w:val="Верхний колонтитул"/>
    <w:basedOn w:val="860"/>
    <w:next w:val="866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3"/>
    <w:next w:val="867"/>
    <w:link w:val="860"/>
  </w:style>
  <w:style w:type="paragraph" w:styleId="868">
    <w:name w:val="Текст выноски"/>
    <w:basedOn w:val="860"/>
    <w:next w:val="868"/>
    <w:link w:val="860"/>
    <w:semiHidden/>
    <w:rPr>
      <w:rFonts w:ascii="Tahoma" w:hAnsi="Tahoma" w:cs="Tahoma"/>
      <w:sz w:val="16"/>
      <w:szCs w:val="16"/>
    </w:rPr>
  </w:style>
  <w:style w:type="paragraph" w:styleId="869">
    <w:name w:val="Схема документа"/>
    <w:basedOn w:val="860"/>
    <w:next w:val="869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70">
    <w:name w:val="Заголовок 1 Знак"/>
    <w:next w:val="870"/>
    <w:link w:val="861"/>
    <w:rPr>
      <w:sz w:val="24"/>
      <w:szCs w:val="24"/>
    </w:rPr>
  </w:style>
  <w:style w:type="character" w:styleId="871">
    <w:name w:val="Заголовок 9 Знак"/>
    <w:next w:val="871"/>
    <w:link w:val="862"/>
    <w:rPr>
      <w:rFonts w:ascii="Calibri Light" w:hAnsi="Calibri Light" w:eastAsia="Times New Roman" w:cs="Times New Roman"/>
      <w:sz w:val="22"/>
      <w:szCs w:val="22"/>
    </w:rPr>
  </w:style>
  <w:style w:type="paragraph" w:styleId="872">
    <w:name w:val="ConsPlusCell"/>
    <w:next w:val="872"/>
    <w:link w:val="860"/>
    <w:uiPriority w:val="99"/>
    <w:rPr>
      <w:sz w:val="24"/>
      <w:szCs w:val="24"/>
      <w:lang w:val="ru-RU" w:eastAsia="ru-RU" w:bidi="ar-SA"/>
    </w:rPr>
  </w:style>
  <w:style w:type="table" w:styleId="873">
    <w:name w:val="Сетка таблицы"/>
    <w:basedOn w:val="864"/>
    <w:next w:val="873"/>
    <w:link w:val="860"/>
    <w:tblPr/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MOFOMS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103</cp:revision>
  <dcterms:created xsi:type="dcterms:W3CDTF">2019-11-12T14:00:00Z</dcterms:created>
  <dcterms:modified xsi:type="dcterms:W3CDTF">2025-11-19T07:12:55Z</dcterms:modified>
  <cp:version>1048576</cp:version>
</cp:coreProperties>
</file>